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6A1" w:rsidRPr="007F703D" w:rsidRDefault="00BD66A1" w:rsidP="007F703D">
      <w:pPr>
        <w:pStyle w:val="ListParagraph"/>
        <w:numPr>
          <w:ilvl w:val="0"/>
          <w:numId w:val="1"/>
        </w:numPr>
        <w:spacing w:line="480" w:lineRule="auto"/>
        <w:rPr>
          <w:rFonts w:ascii="Times New Roman" w:hAnsi="Times New Roman" w:cs="Times New Roman"/>
          <w:sz w:val="24"/>
          <w:szCs w:val="24"/>
        </w:rPr>
      </w:pPr>
    </w:p>
    <w:p w:rsidR="00A0420B" w:rsidRPr="007F703D" w:rsidRDefault="00A0420B" w:rsidP="007F703D">
      <w:pPr>
        <w:spacing w:line="480" w:lineRule="auto"/>
        <w:rPr>
          <w:rFonts w:ascii="Times New Roman" w:hAnsi="Times New Roman" w:cs="Times New Roman"/>
          <w:sz w:val="24"/>
          <w:szCs w:val="24"/>
        </w:rPr>
      </w:pPr>
      <w:r w:rsidRPr="007F703D">
        <w:rPr>
          <w:rFonts w:ascii="Times New Roman" w:hAnsi="Times New Roman" w:cs="Times New Roman"/>
          <w:sz w:val="24"/>
          <w:szCs w:val="24"/>
        </w:rPr>
        <w:t xml:space="preserve">The case that I found difficult to handle as a union advocate is case 75. In the case, Mr. N had been issued a notice of termination due to violating the policies of the company on the computer and internet use. The specific charges involved his behavior of spending a lot of time on pornography of minors. This case was complicated to defend because of two main reasons. The first reason outside the company’s laws is on ethics. Ideally, spending time watching child pornography is unethical and against the law. The company laws were also obvious that the computers and the internet were not to be used on pornography sites. Besides, Mr. N was even wasting time in the place of work complicating the matter further. </w:t>
      </w:r>
    </w:p>
    <w:p w:rsidR="00A0420B" w:rsidRPr="007F703D" w:rsidRDefault="00A0420B" w:rsidP="007F703D">
      <w:pPr>
        <w:spacing w:line="480" w:lineRule="auto"/>
        <w:rPr>
          <w:rFonts w:ascii="Times New Roman" w:hAnsi="Times New Roman" w:cs="Times New Roman"/>
          <w:sz w:val="24"/>
          <w:szCs w:val="24"/>
        </w:rPr>
      </w:pPr>
      <w:r w:rsidRPr="007F703D">
        <w:rPr>
          <w:rFonts w:ascii="Times New Roman" w:hAnsi="Times New Roman" w:cs="Times New Roman"/>
          <w:sz w:val="24"/>
          <w:szCs w:val="24"/>
        </w:rPr>
        <w:t xml:space="preserve">The case that I found challenging to serve as an arbitrator was case 54 in which the employee was issued with a termination letter for possessing a gun. Ideally, bringing the two into terms was a challenge. The fact that Kress knew of the impending dangers made it more complicated to bring the two parties into agreeing. Besides, Kress had already shown the gun to fellow employees who seemed to be entirely against him when they reported the matter to the management. </w:t>
      </w:r>
    </w:p>
    <w:p w:rsidR="00A0420B" w:rsidRPr="007F703D" w:rsidRDefault="00A0420B" w:rsidP="007F703D">
      <w:pPr>
        <w:spacing w:line="480" w:lineRule="auto"/>
        <w:rPr>
          <w:rFonts w:ascii="Times New Roman" w:hAnsi="Times New Roman" w:cs="Times New Roman"/>
          <w:sz w:val="24"/>
          <w:szCs w:val="24"/>
        </w:rPr>
      </w:pPr>
      <w:r w:rsidRPr="007F703D">
        <w:rPr>
          <w:rFonts w:ascii="Times New Roman" w:hAnsi="Times New Roman" w:cs="Times New Roman"/>
          <w:sz w:val="24"/>
          <w:szCs w:val="24"/>
        </w:rPr>
        <w:t xml:space="preserve">The case that I found difficult to handle as a management advocate was on discharge for job abandonment. This aspect is due to unavailability of any written contract touching on the issue.  The disciplinary rules were also not applicable in this case. The section that was quoted was also not appropriate in this situation making it harder to side with the management. </w:t>
      </w:r>
    </w:p>
    <w:p w:rsidR="00A0420B" w:rsidRPr="007F703D" w:rsidRDefault="00A0420B" w:rsidP="007F703D">
      <w:pPr>
        <w:pStyle w:val="ListParagraph"/>
        <w:numPr>
          <w:ilvl w:val="0"/>
          <w:numId w:val="1"/>
        </w:numPr>
        <w:spacing w:line="480" w:lineRule="auto"/>
        <w:rPr>
          <w:rFonts w:ascii="Times New Roman" w:hAnsi="Times New Roman" w:cs="Times New Roman"/>
          <w:sz w:val="24"/>
          <w:szCs w:val="24"/>
        </w:rPr>
      </w:pPr>
    </w:p>
    <w:p w:rsidR="00A0420B" w:rsidRPr="007F703D" w:rsidRDefault="00A0420B" w:rsidP="007F703D">
      <w:pPr>
        <w:spacing w:line="480" w:lineRule="auto"/>
        <w:ind w:firstLine="720"/>
        <w:rPr>
          <w:rFonts w:ascii="Times New Roman" w:hAnsi="Times New Roman" w:cs="Times New Roman"/>
          <w:sz w:val="24"/>
          <w:szCs w:val="24"/>
        </w:rPr>
      </w:pPr>
      <w:r w:rsidRPr="007F703D">
        <w:rPr>
          <w:rFonts w:ascii="Times New Roman" w:hAnsi="Times New Roman" w:cs="Times New Roman"/>
          <w:sz w:val="24"/>
          <w:szCs w:val="24"/>
        </w:rPr>
        <w:t xml:space="preserve">Arbitration is where the third party or a panel made up of third parties are brought on board to hear arguments presented by the ends involved in a case. The move is appropriate when </w:t>
      </w:r>
      <w:r w:rsidRPr="007F703D">
        <w:rPr>
          <w:rFonts w:ascii="Times New Roman" w:hAnsi="Times New Roman" w:cs="Times New Roman"/>
          <w:sz w:val="24"/>
          <w:szCs w:val="24"/>
        </w:rPr>
        <w:lastRenderedPageBreak/>
        <w:t>the involved parties cannot settle on proper jurisdiction, when the proceedings are likely to cost the parties time and money and when the parties are in need of privacy and confidentiality. The main advantages of this type of conflict resolution include secrecy, speed due to well-set timelines, fairness since arbitrators are selected on the agreement, simple procedures and finality</w:t>
      </w:r>
      <w:r w:rsidR="0016168A" w:rsidRPr="007F703D">
        <w:rPr>
          <w:rFonts w:ascii="Times New Roman" w:hAnsi="Times New Roman" w:cs="Times New Roman"/>
          <w:sz w:val="24"/>
          <w:szCs w:val="24"/>
        </w:rPr>
        <w:t xml:space="preserve"> (Baril and Dickey, 2011)</w:t>
      </w:r>
      <w:r w:rsidRPr="007F703D">
        <w:rPr>
          <w:rFonts w:ascii="Times New Roman" w:hAnsi="Times New Roman" w:cs="Times New Roman"/>
          <w:sz w:val="24"/>
          <w:szCs w:val="24"/>
        </w:rPr>
        <w:t xml:space="preserve">. The same pros in most cases turn out to be the cons when not handled well. </w:t>
      </w:r>
    </w:p>
    <w:p w:rsidR="00A0420B" w:rsidRPr="007F703D" w:rsidRDefault="00A0420B" w:rsidP="007F703D">
      <w:pPr>
        <w:spacing w:line="480" w:lineRule="auto"/>
        <w:ind w:firstLine="720"/>
        <w:rPr>
          <w:rFonts w:ascii="Times New Roman" w:hAnsi="Times New Roman" w:cs="Times New Roman"/>
          <w:sz w:val="24"/>
          <w:szCs w:val="24"/>
        </w:rPr>
      </w:pPr>
      <w:r w:rsidRPr="007F703D">
        <w:rPr>
          <w:rFonts w:ascii="Times New Roman" w:hAnsi="Times New Roman" w:cs="Times New Roman"/>
          <w:sz w:val="24"/>
          <w:szCs w:val="24"/>
        </w:rPr>
        <w:t>Mediation is settling disputes using intermediaries or neutral parties. Participation, in this case, is always voluntary. Mediation is appropriate when the parties have different perceptions of law when they need to express strong emotions, are craving for an opportunity to be heard by other parties, and they are not good at negotiating</w:t>
      </w:r>
      <w:r w:rsidR="0016168A" w:rsidRPr="007F703D">
        <w:rPr>
          <w:rFonts w:ascii="Times New Roman" w:hAnsi="Times New Roman" w:cs="Times New Roman"/>
          <w:sz w:val="24"/>
          <w:szCs w:val="24"/>
        </w:rPr>
        <w:t xml:space="preserve"> (Baril et al., 2011)</w:t>
      </w:r>
      <w:r w:rsidRPr="007F703D">
        <w:rPr>
          <w:rFonts w:ascii="Times New Roman" w:hAnsi="Times New Roman" w:cs="Times New Roman"/>
          <w:sz w:val="24"/>
          <w:szCs w:val="24"/>
        </w:rPr>
        <w:t>. Pros include privacy, speed, chance to listen to each other, voluntary, active participation and willingness to agree on terms reached. Cons include unwillingness, and lack of cooperation may halt the whole process. In this context, parties are required to reach an agreement on the process first and make a written agreement that the process will bind them together. It is always appropriate when the parties are in a severe conflict and are avoiding the litigation hassle. Pros, in this case, include resolution, efficiency, momentum and the narrow scope</w:t>
      </w:r>
      <w:r w:rsidR="000E7308" w:rsidRPr="007F703D">
        <w:rPr>
          <w:rFonts w:ascii="Times New Roman" w:hAnsi="Times New Roman" w:cs="Times New Roman"/>
          <w:sz w:val="24"/>
          <w:szCs w:val="24"/>
        </w:rPr>
        <w:t xml:space="preserve"> (Pappas, 2015)</w:t>
      </w:r>
      <w:r w:rsidRPr="007F703D">
        <w:rPr>
          <w:rFonts w:ascii="Times New Roman" w:hAnsi="Times New Roman" w:cs="Times New Roman"/>
          <w:sz w:val="24"/>
          <w:szCs w:val="24"/>
        </w:rPr>
        <w:t xml:space="preserve">. The cons are reluctance, confidentiality, and the tone changes. </w:t>
      </w:r>
    </w:p>
    <w:p w:rsidR="00A0420B" w:rsidRPr="007F703D" w:rsidRDefault="00A0420B" w:rsidP="007F703D">
      <w:pPr>
        <w:spacing w:line="480" w:lineRule="auto"/>
        <w:ind w:firstLine="720"/>
        <w:rPr>
          <w:rFonts w:ascii="Times New Roman" w:hAnsi="Times New Roman" w:cs="Times New Roman"/>
          <w:sz w:val="24"/>
          <w:szCs w:val="24"/>
        </w:rPr>
      </w:pPr>
      <w:r w:rsidRPr="007F703D">
        <w:rPr>
          <w:rFonts w:ascii="Times New Roman" w:hAnsi="Times New Roman" w:cs="Times New Roman"/>
          <w:sz w:val="24"/>
          <w:szCs w:val="24"/>
        </w:rPr>
        <w:t xml:space="preserve">Fact-finding is appropriate when the cause of the issue has to be unearthed, and the culprit brought to book.  This process can prevent future cases and also expose individuals to the public. Cons include lousy reputation in case of a loss, can heighten the conflict and they are costly. </w:t>
      </w:r>
    </w:p>
    <w:p w:rsidR="00A0420B" w:rsidRPr="007F703D" w:rsidRDefault="00A0420B" w:rsidP="007F703D">
      <w:pPr>
        <w:pStyle w:val="ListParagraph"/>
        <w:numPr>
          <w:ilvl w:val="0"/>
          <w:numId w:val="1"/>
        </w:numPr>
        <w:spacing w:line="480" w:lineRule="auto"/>
        <w:rPr>
          <w:rFonts w:ascii="Times New Roman" w:hAnsi="Times New Roman" w:cs="Times New Roman"/>
          <w:sz w:val="24"/>
          <w:szCs w:val="24"/>
        </w:rPr>
      </w:pPr>
    </w:p>
    <w:p w:rsidR="00A0420B" w:rsidRPr="007F703D" w:rsidRDefault="00A0420B" w:rsidP="007F703D">
      <w:pPr>
        <w:spacing w:line="480" w:lineRule="auto"/>
        <w:ind w:firstLine="720"/>
        <w:rPr>
          <w:rFonts w:ascii="Times New Roman" w:hAnsi="Times New Roman" w:cs="Times New Roman"/>
          <w:sz w:val="24"/>
          <w:szCs w:val="24"/>
        </w:rPr>
      </w:pPr>
      <w:r w:rsidRPr="007F703D">
        <w:rPr>
          <w:rFonts w:ascii="Times New Roman" w:hAnsi="Times New Roman" w:cs="Times New Roman"/>
          <w:sz w:val="24"/>
          <w:szCs w:val="24"/>
        </w:rPr>
        <w:lastRenderedPageBreak/>
        <w:t>In case of compulsory arbitration, the involved parties are always called upon to pass through the third parties if they have to settle the disputes. In fact, there is a contract, and the deal is valid, then the individuals must conform to the clause</w:t>
      </w:r>
      <w:r w:rsidR="005D7969" w:rsidRPr="007F703D">
        <w:rPr>
          <w:rFonts w:ascii="Times New Roman" w:hAnsi="Times New Roman" w:cs="Times New Roman"/>
          <w:sz w:val="24"/>
          <w:szCs w:val="24"/>
        </w:rPr>
        <w:t xml:space="preserve"> (Cyprus</w:t>
      </w:r>
      <w:r w:rsidR="00594014" w:rsidRPr="007F703D">
        <w:rPr>
          <w:rFonts w:ascii="Times New Roman" w:hAnsi="Times New Roman" w:cs="Times New Roman"/>
          <w:sz w:val="24"/>
          <w:szCs w:val="24"/>
        </w:rPr>
        <w:t>, 2007</w:t>
      </w:r>
      <w:r w:rsidR="005D7969" w:rsidRPr="007F703D">
        <w:rPr>
          <w:rFonts w:ascii="Times New Roman" w:hAnsi="Times New Roman" w:cs="Times New Roman"/>
          <w:sz w:val="24"/>
          <w:szCs w:val="24"/>
        </w:rPr>
        <w:t>)</w:t>
      </w:r>
      <w:r w:rsidRPr="007F703D">
        <w:rPr>
          <w:rFonts w:ascii="Times New Roman" w:hAnsi="Times New Roman" w:cs="Times New Roman"/>
          <w:sz w:val="24"/>
          <w:szCs w:val="24"/>
        </w:rPr>
        <w:t xml:space="preserve">. In this context, arbitration can also be under the orders of the court to prevent cases from going to trial. Parties must, therefore, conform to the agreement or face sanctions. </w:t>
      </w:r>
    </w:p>
    <w:p w:rsidR="00A0420B" w:rsidRPr="007F703D" w:rsidRDefault="00A0420B" w:rsidP="007F703D">
      <w:pPr>
        <w:spacing w:line="480" w:lineRule="auto"/>
        <w:ind w:firstLine="720"/>
        <w:rPr>
          <w:rFonts w:ascii="Times New Roman" w:hAnsi="Times New Roman" w:cs="Times New Roman"/>
          <w:sz w:val="24"/>
          <w:szCs w:val="24"/>
        </w:rPr>
      </w:pPr>
      <w:r w:rsidRPr="007F703D">
        <w:rPr>
          <w:rFonts w:ascii="Times New Roman" w:hAnsi="Times New Roman" w:cs="Times New Roman"/>
          <w:sz w:val="24"/>
          <w:szCs w:val="24"/>
        </w:rPr>
        <w:t>In voluntary arbitration, the involved sides agree on their own to bring in an outside party for adjudication and help in setting the differences. There is no contract or laws that bind the parties together. The primary motivation in this context is saving money time and maintaining the right will</w:t>
      </w:r>
      <w:r w:rsidR="005D7969" w:rsidRPr="007F703D">
        <w:rPr>
          <w:rFonts w:ascii="Times New Roman" w:hAnsi="Times New Roman" w:cs="Times New Roman"/>
          <w:sz w:val="24"/>
          <w:szCs w:val="24"/>
        </w:rPr>
        <w:t xml:space="preserve"> (Cyprus</w:t>
      </w:r>
      <w:r w:rsidR="00594014" w:rsidRPr="007F703D">
        <w:rPr>
          <w:rFonts w:ascii="Times New Roman" w:hAnsi="Times New Roman" w:cs="Times New Roman"/>
          <w:sz w:val="24"/>
          <w:szCs w:val="24"/>
        </w:rPr>
        <w:t>, 2007</w:t>
      </w:r>
      <w:r w:rsidR="005D7969" w:rsidRPr="007F703D">
        <w:rPr>
          <w:rFonts w:ascii="Times New Roman" w:hAnsi="Times New Roman" w:cs="Times New Roman"/>
          <w:sz w:val="24"/>
          <w:szCs w:val="24"/>
        </w:rPr>
        <w:t>)</w:t>
      </w:r>
      <w:r w:rsidRPr="007F703D">
        <w:rPr>
          <w:rFonts w:ascii="Times New Roman" w:hAnsi="Times New Roman" w:cs="Times New Roman"/>
          <w:sz w:val="24"/>
          <w:szCs w:val="24"/>
        </w:rPr>
        <w:t xml:space="preserve">.  The first step in selecting an arbitrator is the identification of the arbitration needs. The second step is finding the provider of arbitration. After this, the panel should be chosen. The process that is likely to solve the conflict entirely is the compulsory arbitration. This is because the parties always agree on the arbitrator. From its definition, the labor and the management are legally forced to look at a dispute and settle the issues. The fact that the parties sign an agreement ensures that no possibility of strikes may affect the process. The decisions made and the binding moves will also be respected due to the contract and the likelihood to face the law and other sanctions. </w:t>
      </w:r>
    </w:p>
    <w:p w:rsidR="00A0420B" w:rsidRPr="007F703D" w:rsidRDefault="00A0420B" w:rsidP="007F703D">
      <w:pPr>
        <w:pStyle w:val="ListParagraph"/>
        <w:numPr>
          <w:ilvl w:val="0"/>
          <w:numId w:val="1"/>
        </w:numPr>
        <w:spacing w:line="480" w:lineRule="auto"/>
        <w:rPr>
          <w:rFonts w:ascii="Times New Roman" w:hAnsi="Times New Roman" w:cs="Times New Roman"/>
          <w:sz w:val="24"/>
          <w:szCs w:val="24"/>
        </w:rPr>
      </w:pPr>
    </w:p>
    <w:p w:rsidR="00A0420B" w:rsidRPr="007F703D" w:rsidRDefault="00A0420B" w:rsidP="007F703D">
      <w:pPr>
        <w:spacing w:line="480" w:lineRule="auto"/>
        <w:ind w:firstLine="720"/>
        <w:rPr>
          <w:rFonts w:ascii="Times New Roman" w:hAnsi="Times New Roman" w:cs="Times New Roman"/>
          <w:sz w:val="24"/>
          <w:szCs w:val="24"/>
        </w:rPr>
      </w:pPr>
      <w:r w:rsidRPr="007F703D">
        <w:rPr>
          <w:rFonts w:ascii="Times New Roman" w:hAnsi="Times New Roman" w:cs="Times New Roman"/>
          <w:sz w:val="24"/>
          <w:szCs w:val="24"/>
        </w:rPr>
        <w:t>The preponderance of evidence is the basis used by courts to make a ruling in the fundamental institutions. For example, in the context of a tort dispute in the course of the negligence rule, the plaintiff has the responsibility of convincing the court that indeed the defendant never exercised any due care</w:t>
      </w:r>
      <w:r w:rsidR="005D7969" w:rsidRPr="007F703D">
        <w:rPr>
          <w:rFonts w:ascii="Times New Roman" w:hAnsi="Times New Roman" w:cs="Times New Roman"/>
          <w:sz w:val="24"/>
          <w:szCs w:val="24"/>
        </w:rPr>
        <w:t xml:space="preserve"> (</w:t>
      </w:r>
      <w:r w:rsidR="005D7969" w:rsidRPr="007F703D">
        <w:rPr>
          <w:rFonts w:ascii="Times New Roman" w:hAnsi="Times New Roman" w:cs="Times New Roman"/>
          <w:bCs/>
          <w:sz w:val="24"/>
          <w:szCs w:val="24"/>
        </w:rPr>
        <w:t>Kaplow, 2011</w:t>
      </w:r>
      <w:r w:rsidR="005D7969" w:rsidRPr="007F703D">
        <w:rPr>
          <w:rFonts w:ascii="Times New Roman" w:hAnsi="Times New Roman" w:cs="Times New Roman"/>
          <w:sz w:val="24"/>
          <w:szCs w:val="24"/>
        </w:rPr>
        <w:t>)</w:t>
      </w:r>
      <w:r w:rsidRPr="007F703D">
        <w:rPr>
          <w:rFonts w:ascii="Times New Roman" w:hAnsi="Times New Roman" w:cs="Times New Roman"/>
          <w:sz w:val="24"/>
          <w:szCs w:val="24"/>
        </w:rPr>
        <w:t xml:space="preserve">.  When a court decides in the line of the plaintiff, it is called a preponderance of the evidence. This aspect means that the defendant is </w:t>
      </w:r>
      <w:r w:rsidRPr="007F703D">
        <w:rPr>
          <w:rFonts w:ascii="Times New Roman" w:hAnsi="Times New Roman" w:cs="Times New Roman"/>
          <w:sz w:val="24"/>
          <w:szCs w:val="24"/>
        </w:rPr>
        <w:lastRenderedPageBreak/>
        <w:t xml:space="preserve">held answerable based on the evidence, it looks more probable than not that he never exercised due care. </w:t>
      </w:r>
    </w:p>
    <w:p w:rsidR="00A0420B" w:rsidRPr="007F703D" w:rsidRDefault="00A0420B" w:rsidP="007F703D">
      <w:pPr>
        <w:spacing w:line="480" w:lineRule="auto"/>
        <w:ind w:firstLine="720"/>
        <w:rPr>
          <w:rFonts w:ascii="Times New Roman" w:hAnsi="Times New Roman" w:cs="Times New Roman"/>
          <w:sz w:val="24"/>
          <w:szCs w:val="24"/>
        </w:rPr>
      </w:pPr>
      <w:r w:rsidRPr="007F703D">
        <w:rPr>
          <w:rFonts w:ascii="Times New Roman" w:hAnsi="Times New Roman" w:cs="Times New Roman"/>
          <w:sz w:val="24"/>
          <w:szCs w:val="24"/>
        </w:rPr>
        <w:t>The clear and convincing evidence is always used on several occasions. One is likely to meet it in civil claims like the administrative hearings, habeas corpus and some legal claims. In such cases, the plaintiff is supposed to prove with no small allegations that indeed what he has presented is more likely than not precisely what did happen. Instead, plaintiffs who meet a clear and convincing evidence gauge have a mandate to prove that it is substantially more likely than not that indeed what they are claiming is the truth</w:t>
      </w:r>
      <w:r w:rsidR="005D7969" w:rsidRPr="007F703D">
        <w:rPr>
          <w:rFonts w:ascii="Times New Roman" w:hAnsi="Times New Roman" w:cs="Times New Roman"/>
          <w:sz w:val="24"/>
          <w:szCs w:val="24"/>
        </w:rPr>
        <w:t xml:space="preserve"> (</w:t>
      </w:r>
      <w:r w:rsidR="005D7969" w:rsidRPr="007F703D">
        <w:rPr>
          <w:rFonts w:ascii="Times New Roman" w:hAnsi="Times New Roman" w:cs="Times New Roman"/>
          <w:bCs/>
          <w:sz w:val="24"/>
          <w:szCs w:val="24"/>
        </w:rPr>
        <w:t>Kaplow, 2011</w:t>
      </w:r>
      <w:r w:rsidR="005D7969" w:rsidRPr="007F703D">
        <w:rPr>
          <w:rFonts w:ascii="Times New Roman" w:hAnsi="Times New Roman" w:cs="Times New Roman"/>
          <w:sz w:val="24"/>
          <w:szCs w:val="24"/>
        </w:rPr>
        <w:t>)</w:t>
      </w:r>
      <w:r w:rsidRPr="007F703D">
        <w:rPr>
          <w:rFonts w:ascii="Times New Roman" w:hAnsi="Times New Roman" w:cs="Times New Roman"/>
          <w:sz w:val="24"/>
          <w:szCs w:val="24"/>
        </w:rPr>
        <w:t xml:space="preserve">.  Even though this aspect is used in many courts across the world and the United States of America in particular, there is no precise definition of what it means. </w:t>
      </w:r>
    </w:p>
    <w:p w:rsidR="00A0420B" w:rsidRPr="007F703D" w:rsidRDefault="00A0420B" w:rsidP="007F703D">
      <w:pPr>
        <w:spacing w:line="480" w:lineRule="auto"/>
        <w:ind w:firstLine="720"/>
        <w:rPr>
          <w:rFonts w:ascii="Times New Roman" w:hAnsi="Times New Roman" w:cs="Times New Roman"/>
          <w:sz w:val="24"/>
          <w:szCs w:val="24"/>
        </w:rPr>
      </w:pPr>
      <w:r w:rsidRPr="007F703D">
        <w:rPr>
          <w:rFonts w:ascii="Times New Roman" w:hAnsi="Times New Roman" w:cs="Times New Roman"/>
          <w:sz w:val="24"/>
          <w:szCs w:val="24"/>
        </w:rPr>
        <w:t xml:space="preserve">Most people believe that for any person to be convicted of a crime, </w:t>
      </w:r>
      <w:r w:rsidR="00594014" w:rsidRPr="007F703D">
        <w:rPr>
          <w:rFonts w:ascii="Times New Roman" w:hAnsi="Times New Roman" w:cs="Times New Roman"/>
          <w:sz w:val="24"/>
          <w:szCs w:val="24"/>
        </w:rPr>
        <w:t>and then</w:t>
      </w:r>
      <w:r w:rsidRPr="007F703D">
        <w:rPr>
          <w:rFonts w:ascii="Times New Roman" w:hAnsi="Times New Roman" w:cs="Times New Roman"/>
          <w:sz w:val="24"/>
          <w:szCs w:val="24"/>
        </w:rPr>
        <w:t xml:space="preserve"> the court must prove that the guilt was beyond a reasonable doubt. Most people find this confusing. In the criminal trials, the verdict squarely lies on the meaning of this phrase</w:t>
      </w:r>
      <w:r w:rsidR="005D7969" w:rsidRPr="007F703D">
        <w:rPr>
          <w:rFonts w:ascii="Times New Roman" w:hAnsi="Times New Roman" w:cs="Times New Roman"/>
          <w:sz w:val="24"/>
          <w:szCs w:val="24"/>
        </w:rPr>
        <w:t xml:space="preserve"> (Bennett, 2002)</w:t>
      </w:r>
      <w:r w:rsidRPr="007F703D">
        <w:rPr>
          <w:rFonts w:ascii="Times New Roman" w:hAnsi="Times New Roman" w:cs="Times New Roman"/>
          <w:sz w:val="24"/>
          <w:szCs w:val="24"/>
        </w:rPr>
        <w:t>. This concept is used to mean that the proof provided is not only imaginary or based on sympathy and prejudice but instead on logic and common sense that is reasonably derived using evidence or without the use of evidence.</w:t>
      </w:r>
    </w:p>
    <w:p w:rsidR="00A0420B" w:rsidRPr="007F703D" w:rsidRDefault="00A0420B" w:rsidP="007F703D">
      <w:pPr>
        <w:pStyle w:val="ListParagraph"/>
        <w:numPr>
          <w:ilvl w:val="0"/>
          <w:numId w:val="1"/>
        </w:numPr>
        <w:spacing w:line="480" w:lineRule="auto"/>
        <w:rPr>
          <w:rFonts w:ascii="Times New Roman" w:hAnsi="Times New Roman" w:cs="Times New Roman"/>
          <w:sz w:val="24"/>
          <w:szCs w:val="24"/>
        </w:rPr>
      </w:pPr>
    </w:p>
    <w:p w:rsidR="00A0420B" w:rsidRPr="007F703D" w:rsidRDefault="00A0420B" w:rsidP="007F703D">
      <w:pPr>
        <w:spacing w:line="480" w:lineRule="auto"/>
        <w:ind w:firstLine="720"/>
        <w:rPr>
          <w:rFonts w:ascii="Times New Roman" w:hAnsi="Times New Roman" w:cs="Times New Roman"/>
          <w:sz w:val="24"/>
          <w:szCs w:val="24"/>
        </w:rPr>
      </w:pPr>
      <w:r w:rsidRPr="007F703D">
        <w:rPr>
          <w:rFonts w:ascii="Times New Roman" w:hAnsi="Times New Roman" w:cs="Times New Roman"/>
          <w:sz w:val="24"/>
          <w:szCs w:val="24"/>
        </w:rPr>
        <w:t>One of the significant components of successful advocacy is efficiently preparing a witness. One should help the witness to read the notice and the necessary directions. This will make the witness make the required arrangements for taking time off work or arranging the children</w:t>
      </w:r>
      <w:r w:rsidR="007F703D" w:rsidRPr="007F703D">
        <w:rPr>
          <w:rFonts w:ascii="Times New Roman" w:hAnsi="Times New Roman" w:cs="Times New Roman"/>
          <w:sz w:val="24"/>
          <w:szCs w:val="24"/>
        </w:rPr>
        <w:t xml:space="preserve"> (</w:t>
      </w:r>
      <w:r w:rsidR="00594014" w:rsidRPr="007F703D">
        <w:rPr>
          <w:rFonts w:ascii="Times New Roman" w:hAnsi="Times New Roman" w:cs="Times New Roman"/>
          <w:sz w:val="24"/>
          <w:szCs w:val="24"/>
        </w:rPr>
        <w:t>Mittentha</w:t>
      </w:r>
      <w:r w:rsidR="00594014">
        <w:rPr>
          <w:rFonts w:ascii="Times New Roman" w:hAnsi="Times New Roman" w:cs="Times New Roman"/>
          <w:sz w:val="24"/>
          <w:szCs w:val="24"/>
        </w:rPr>
        <w:t>l</w:t>
      </w:r>
      <w:r w:rsidR="007F703D" w:rsidRPr="007F703D">
        <w:rPr>
          <w:rFonts w:ascii="Times New Roman" w:hAnsi="Times New Roman" w:cs="Times New Roman"/>
          <w:sz w:val="24"/>
          <w:szCs w:val="24"/>
        </w:rPr>
        <w:t>, 2014)</w:t>
      </w:r>
      <w:r w:rsidRPr="007F703D">
        <w:rPr>
          <w:rFonts w:ascii="Times New Roman" w:hAnsi="Times New Roman" w:cs="Times New Roman"/>
          <w:sz w:val="24"/>
          <w:szCs w:val="24"/>
        </w:rPr>
        <w:t xml:space="preserve">. This move will allow the witness to seek adjournment if they cannot make it on time or the day of the hearing. The witness should be helped to collect statements and </w:t>
      </w:r>
      <w:r w:rsidRPr="007F703D">
        <w:rPr>
          <w:rFonts w:ascii="Times New Roman" w:hAnsi="Times New Roman" w:cs="Times New Roman"/>
          <w:sz w:val="24"/>
          <w:szCs w:val="24"/>
        </w:rPr>
        <w:lastRenderedPageBreak/>
        <w:t>evidence. The collected material should be essential and relevant to the case at hand. The evidence should be able to respond to the questions that the panel will ask. The witness should be taught how to write a statement. The witness has to be trained in preparation, filing, and presentation of the outlines and the comments. Telling the witness on what should be said and presented during the arbitration process is also a good move</w:t>
      </w:r>
      <w:r w:rsidR="007F703D" w:rsidRPr="007F703D">
        <w:rPr>
          <w:rFonts w:ascii="Times New Roman" w:hAnsi="Times New Roman" w:cs="Times New Roman"/>
          <w:sz w:val="24"/>
          <w:szCs w:val="24"/>
        </w:rPr>
        <w:t xml:space="preserve"> (</w:t>
      </w:r>
      <w:r w:rsidR="00594014" w:rsidRPr="007F703D">
        <w:rPr>
          <w:rFonts w:ascii="Times New Roman" w:hAnsi="Times New Roman" w:cs="Times New Roman"/>
          <w:sz w:val="24"/>
          <w:szCs w:val="24"/>
        </w:rPr>
        <w:t>Mittentha</w:t>
      </w:r>
      <w:r w:rsidR="00594014">
        <w:rPr>
          <w:rFonts w:ascii="Times New Roman" w:hAnsi="Times New Roman" w:cs="Times New Roman"/>
          <w:sz w:val="24"/>
          <w:szCs w:val="24"/>
        </w:rPr>
        <w:t>l</w:t>
      </w:r>
      <w:r w:rsidR="007F703D" w:rsidRPr="007F703D">
        <w:rPr>
          <w:rFonts w:ascii="Times New Roman" w:hAnsi="Times New Roman" w:cs="Times New Roman"/>
          <w:sz w:val="24"/>
          <w:szCs w:val="24"/>
        </w:rPr>
        <w:t>, 2014)</w:t>
      </w:r>
      <w:r w:rsidRPr="007F703D">
        <w:rPr>
          <w:rFonts w:ascii="Times New Roman" w:hAnsi="Times New Roman" w:cs="Times New Roman"/>
          <w:sz w:val="24"/>
          <w:szCs w:val="24"/>
        </w:rPr>
        <w:t xml:space="preserve">. For effective cross-examination, one should first prepare for the procedure. This step includes having a good knowledge of the case, making plans on the cross-examination, avoid having questions that you do not know the answers and ask the questions at the confession and then take a look at inconsistencies. The next move should be coming up with issues that are effective. The questions should be leading and have one fact. The questions should also come before the trial plan. Taking the cross-examination is the actual process. In this case, one must work as per the trial plan, target the questions to the person, finish strongly and know when to stop. </w:t>
      </w:r>
    </w:p>
    <w:p w:rsidR="00A0420B" w:rsidRPr="007F703D" w:rsidRDefault="00A0420B" w:rsidP="007F703D">
      <w:pPr>
        <w:pStyle w:val="ListParagraph"/>
        <w:numPr>
          <w:ilvl w:val="0"/>
          <w:numId w:val="1"/>
        </w:numPr>
        <w:spacing w:line="480" w:lineRule="auto"/>
        <w:rPr>
          <w:rFonts w:ascii="Times New Roman" w:hAnsi="Times New Roman" w:cs="Times New Roman"/>
          <w:sz w:val="24"/>
          <w:szCs w:val="24"/>
        </w:rPr>
      </w:pPr>
    </w:p>
    <w:p w:rsidR="00A0420B" w:rsidRPr="007F703D" w:rsidRDefault="00A0420B" w:rsidP="007F703D">
      <w:pPr>
        <w:spacing w:line="480" w:lineRule="auto"/>
        <w:ind w:firstLine="720"/>
        <w:rPr>
          <w:rFonts w:ascii="Times New Roman" w:hAnsi="Times New Roman" w:cs="Times New Roman"/>
          <w:sz w:val="24"/>
          <w:szCs w:val="24"/>
        </w:rPr>
      </w:pPr>
      <w:r w:rsidRPr="007F703D">
        <w:rPr>
          <w:rFonts w:ascii="Times New Roman" w:hAnsi="Times New Roman" w:cs="Times New Roman"/>
          <w:sz w:val="24"/>
          <w:szCs w:val="24"/>
        </w:rPr>
        <w:t xml:space="preserve">In the labor laws, past practice is any practice that has been acknowledged and accepted by two parties and has been used in some times in the past. At times, it is the last move that is used when handling a grievance by looking at how the same issue was treated in the past before filing the current complaint. Past practice is always used to define the accepted conduct only by the arbitrator's ion resolving the cases in cases where the contact language is ambiguous and contradicting or in cases where the contract does not take care of the matter at hand. Such practice is not a must to be in written form in the labor agreements. There are some tests on the validity of past practice. First, it must have been in existence for a considerably long time. It must also have repeatedly occurred, be clear and constant, must be an aspect that is known to both the union and the firm management, and lastly, it must be a practice that was and is still </w:t>
      </w:r>
      <w:r w:rsidRPr="007F703D">
        <w:rPr>
          <w:rFonts w:ascii="Times New Roman" w:hAnsi="Times New Roman" w:cs="Times New Roman"/>
          <w:sz w:val="24"/>
          <w:szCs w:val="24"/>
        </w:rPr>
        <w:lastRenderedPageBreak/>
        <w:t xml:space="preserve">accepted by both the administration and the union. The only way that the employees can win an argument against the past practice is through clarification of the contract. For instance, when the deal is vague or has a general touch on issues. The employer should talk to the union before implementing the clarified columns in the contract. Another move that should be taken is double checking the rights of the management and those of the employees. If the rights favor the management, then one has a right to inform the union and move on to the next step. </w:t>
      </w:r>
    </w:p>
    <w:p w:rsidR="00A0420B" w:rsidRPr="007F703D" w:rsidRDefault="00A0420B" w:rsidP="007F703D">
      <w:pPr>
        <w:pStyle w:val="ListParagraph"/>
        <w:numPr>
          <w:ilvl w:val="0"/>
          <w:numId w:val="1"/>
        </w:numPr>
        <w:spacing w:line="480" w:lineRule="auto"/>
        <w:rPr>
          <w:rFonts w:ascii="Times New Roman" w:hAnsi="Times New Roman" w:cs="Times New Roman"/>
          <w:sz w:val="24"/>
          <w:szCs w:val="24"/>
        </w:rPr>
      </w:pPr>
      <w:bookmarkStart w:id="0" w:name="_GoBack"/>
      <w:bookmarkEnd w:id="0"/>
    </w:p>
    <w:p w:rsidR="00A0420B" w:rsidRPr="007F703D" w:rsidRDefault="00A0420B" w:rsidP="007F703D">
      <w:pPr>
        <w:spacing w:line="480" w:lineRule="auto"/>
        <w:ind w:firstLine="720"/>
        <w:rPr>
          <w:rFonts w:ascii="Times New Roman" w:hAnsi="Times New Roman" w:cs="Times New Roman"/>
          <w:sz w:val="24"/>
          <w:szCs w:val="24"/>
        </w:rPr>
      </w:pPr>
      <w:r w:rsidRPr="007F703D">
        <w:rPr>
          <w:rFonts w:ascii="Times New Roman" w:hAnsi="Times New Roman" w:cs="Times New Roman"/>
          <w:sz w:val="24"/>
          <w:szCs w:val="24"/>
        </w:rPr>
        <w:t>The main exception to hearsay evidence in arbitration is when it is given the necessary weight corresponding to its significance and reliability. Ideally, relevance will always determine whether the presented evidence means what was needed</w:t>
      </w:r>
      <w:r w:rsidR="007F703D" w:rsidRPr="007F703D">
        <w:rPr>
          <w:rFonts w:ascii="Times New Roman" w:hAnsi="Times New Roman" w:cs="Times New Roman"/>
          <w:sz w:val="24"/>
          <w:szCs w:val="24"/>
        </w:rPr>
        <w:t xml:space="preserve"> (</w:t>
      </w:r>
      <w:r w:rsidR="00594014" w:rsidRPr="007F703D">
        <w:rPr>
          <w:rFonts w:ascii="Times New Roman" w:hAnsi="Times New Roman" w:cs="Times New Roman"/>
          <w:sz w:val="24"/>
          <w:szCs w:val="24"/>
        </w:rPr>
        <w:t>Groulx,</w:t>
      </w:r>
      <w:r w:rsidR="007F703D" w:rsidRPr="007F703D">
        <w:rPr>
          <w:rFonts w:ascii="Times New Roman" w:hAnsi="Times New Roman" w:cs="Times New Roman"/>
          <w:sz w:val="24"/>
          <w:szCs w:val="24"/>
        </w:rPr>
        <w:t xml:space="preserve"> K and Rothman, 2011)</w:t>
      </w:r>
      <w:r w:rsidRPr="007F703D">
        <w:rPr>
          <w:rFonts w:ascii="Times New Roman" w:hAnsi="Times New Roman" w:cs="Times New Roman"/>
          <w:sz w:val="24"/>
          <w:szCs w:val="24"/>
        </w:rPr>
        <w:t xml:space="preserve">. On the other hand, reliability will always mean that the evidence offered is worth inferring the intentions. In the past, relevancy and reliability were used in ruling against hearsay evidence. In the common law corridors, it was always asserted that hearsay was either irrelevant or unreliable. In that case, most courts asserted that instead of continuous confronting the idea of relevance and reliability of facts presented on hearsay, it was essential to exclude it. In the common law, hearsay was only allowed under known exceptions. The acknowledged exceptions came out of circumstances that the court found even the use of hearsay still gave room for some relevant facts that were highly reliable. For instance, the residual exception only allows hearsay when it can be trusted sufficient material to support it and is equally relevant. </w:t>
      </w:r>
      <w:r w:rsidR="00594014" w:rsidRPr="007F703D">
        <w:rPr>
          <w:rFonts w:ascii="Times New Roman" w:hAnsi="Times New Roman" w:cs="Times New Roman"/>
          <w:sz w:val="24"/>
          <w:szCs w:val="24"/>
        </w:rPr>
        <w:t xml:space="preserve">Several ideas support the concept of reliability and relevancy of hearsay (Groulx et al., 2011). </w:t>
      </w:r>
      <w:r w:rsidRPr="007F703D">
        <w:rPr>
          <w:rFonts w:ascii="Times New Roman" w:hAnsi="Times New Roman" w:cs="Times New Roman"/>
          <w:sz w:val="24"/>
          <w:szCs w:val="24"/>
        </w:rPr>
        <w:t xml:space="preserve">For instance, general exception gives room for excited utterances.  An excited utterance is one that relates to an event that is startling or an event that took place when the person was under excitement. Ideally, such statements are always out of court statements, and the moment they are presented, they become part of hearsay. </w:t>
      </w:r>
      <w:r w:rsidRPr="007F703D">
        <w:rPr>
          <w:rFonts w:ascii="Times New Roman" w:hAnsi="Times New Roman" w:cs="Times New Roman"/>
          <w:sz w:val="24"/>
          <w:szCs w:val="24"/>
        </w:rPr>
        <w:lastRenderedPageBreak/>
        <w:t xml:space="preserve">In case the court finds out that the report presented was an excited utterance, then automatically they become relevant. The fact that in the context of making an excited utterance the declarant has no time to generate false responses makes such statements highly consistent and reliable. </w:t>
      </w:r>
    </w:p>
    <w:p w:rsidR="00A0420B" w:rsidRPr="007F703D" w:rsidRDefault="00A0420B" w:rsidP="007F703D">
      <w:pPr>
        <w:pStyle w:val="ListParagraph"/>
        <w:numPr>
          <w:ilvl w:val="0"/>
          <w:numId w:val="1"/>
        </w:numPr>
        <w:spacing w:line="480" w:lineRule="auto"/>
        <w:rPr>
          <w:rFonts w:ascii="Times New Roman" w:hAnsi="Times New Roman" w:cs="Times New Roman"/>
          <w:sz w:val="24"/>
          <w:szCs w:val="24"/>
        </w:rPr>
      </w:pPr>
    </w:p>
    <w:p w:rsidR="00A0420B" w:rsidRPr="007F703D" w:rsidRDefault="00A0420B" w:rsidP="007F703D">
      <w:pPr>
        <w:spacing w:line="480" w:lineRule="auto"/>
        <w:ind w:firstLine="720"/>
        <w:rPr>
          <w:rFonts w:ascii="Times New Roman" w:hAnsi="Times New Roman" w:cs="Times New Roman"/>
          <w:sz w:val="24"/>
          <w:szCs w:val="24"/>
        </w:rPr>
      </w:pPr>
      <w:r w:rsidRPr="007F703D">
        <w:rPr>
          <w:rFonts w:ascii="Times New Roman" w:hAnsi="Times New Roman" w:cs="Times New Roman"/>
          <w:sz w:val="24"/>
          <w:szCs w:val="24"/>
        </w:rPr>
        <w:t>Evidence can take some forms. One form is direct evidence. This type of evidence will either prove or disprove the presented facts directly. The most common form of this kind of evidence is the testimonies tabled by the eyewitness. The witness in such cases narrates what was seen, heard or the experiences. A good example is in the case of personal injury in which the plaintiff was on the roadside when the defendant lost the way and hit him with the motorbike. One of the direct evidence that the plaintiff can resort to is the testimony of a bystander who can say that indeed the defendant lost the way and hit the plaintiff on the roadside</w:t>
      </w:r>
      <w:r w:rsidR="007F703D" w:rsidRPr="007F703D">
        <w:rPr>
          <w:rFonts w:ascii="Times New Roman" w:hAnsi="Times New Roman" w:cs="Times New Roman"/>
          <w:sz w:val="24"/>
          <w:szCs w:val="24"/>
        </w:rPr>
        <w:t xml:space="preserve"> (Bennett, 2002)</w:t>
      </w:r>
      <w:r w:rsidRPr="007F703D">
        <w:rPr>
          <w:rFonts w:ascii="Times New Roman" w:hAnsi="Times New Roman" w:cs="Times New Roman"/>
          <w:sz w:val="24"/>
          <w:szCs w:val="24"/>
        </w:rPr>
        <w:t xml:space="preserve">.  </w:t>
      </w:r>
    </w:p>
    <w:p w:rsidR="00A0420B" w:rsidRPr="007F703D" w:rsidRDefault="00A0420B" w:rsidP="007F703D">
      <w:pPr>
        <w:spacing w:line="480" w:lineRule="auto"/>
        <w:rPr>
          <w:rFonts w:ascii="Times New Roman" w:hAnsi="Times New Roman" w:cs="Times New Roman"/>
          <w:sz w:val="24"/>
          <w:szCs w:val="24"/>
        </w:rPr>
      </w:pPr>
      <w:r w:rsidRPr="007F703D">
        <w:rPr>
          <w:rFonts w:ascii="Times New Roman" w:hAnsi="Times New Roman" w:cs="Times New Roman"/>
          <w:sz w:val="24"/>
          <w:szCs w:val="24"/>
        </w:rPr>
        <w:t>Circumstantial evidence is the opposite of direct evidence. Such type of evidence does not directly touch on the fact. They make their point by making inferences that can be linked to the situational evidence to the point that the person is trying to put across.  For instance, in the first case, if the plaintiff tables a photograph of the defendant's motorbike at the scene of the accident damage. The plaintiff may use such a photo to prove that indeed the defendant was guilty. The photo is used to infer and therefore is a form of circumstantial evidence. It demonstrates the circumstance</w:t>
      </w:r>
      <w:r w:rsidR="006744C7">
        <w:rPr>
          <w:rFonts w:ascii="Times New Roman" w:hAnsi="Times New Roman" w:cs="Times New Roman"/>
          <w:sz w:val="24"/>
          <w:szCs w:val="24"/>
        </w:rPr>
        <w:t xml:space="preserve"> (</w:t>
      </w:r>
      <w:r w:rsidR="006744C7" w:rsidRPr="007F703D">
        <w:rPr>
          <w:rFonts w:ascii="Times New Roman" w:hAnsi="Times New Roman" w:cs="Times New Roman"/>
          <w:sz w:val="24"/>
          <w:szCs w:val="24"/>
        </w:rPr>
        <w:t>Bennett</w:t>
      </w:r>
      <w:r w:rsidR="006744C7">
        <w:rPr>
          <w:rFonts w:ascii="Times New Roman" w:hAnsi="Times New Roman" w:cs="Times New Roman"/>
          <w:sz w:val="24"/>
          <w:szCs w:val="24"/>
        </w:rPr>
        <w:t>, 2002)</w:t>
      </w:r>
      <w:r w:rsidRPr="007F703D">
        <w:rPr>
          <w:rFonts w:ascii="Times New Roman" w:hAnsi="Times New Roman" w:cs="Times New Roman"/>
          <w:sz w:val="24"/>
          <w:szCs w:val="24"/>
        </w:rPr>
        <w:t xml:space="preserve">.  Circumstantial evidence is simply a collection of facts that lead the panel or parties involved to the needed conclusion when brought together. It cannot stand on its own and will always rely on reasoning to bring the point home. </w:t>
      </w:r>
    </w:p>
    <w:p w:rsidR="00A0420B" w:rsidRPr="007F703D" w:rsidRDefault="00A0420B" w:rsidP="007F703D">
      <w:pPr>
        <w:spacing w:line="480" w:lineRule="auto"/>
        <w:rPr>
          <w:rFonts w:ascii="Times New Roman" w:hAnsi="Times New Roman" w:cs="Times New Roman"/>
          <w:sz w:val="24"/>
          <w:szCs w:val="24"/>
        </w:rPr>
      </w:pPr>
      <w:r w:rsidRPr="007F703D">
        <w:rPr>
          <w:rFonts w:ascii="Times New Roman" w:hAnsi="Times New Roman" w:cs="Times New Roman"/>
          <w:sz w:val="24"/>
          <w:szCs w:val="24"/>
        </w:rPr>
        <w:t xml:space="preserve">The main building block of any form of evidence is relevance. For any evidence to be relevant or admissible that is, it must be probative such that it proves or disapproves a fact then it could have </w:t>
      </w:r>
      <w:r w:rsidRPr="007F703D">
        <w:rPr>
          <w:rFonts w:ascii="Times New Roman" w:hAnsi="Times New Roman" w:cs="Times New Roman"/>
          <w:sz w:val="24"/>
          <w:szCs w:val="24"/>
        </w:rPr>
        <w:lastRenderedPageBreak/>
        <w:t xml:space="preserve">been without it. Relevance calls for logic and legality. Relevance is based on the probability standard. For any evidence to be termed relevant, it should make the item more probable than it could have been without the evidence being in available. The impact made by the evidence should not be major but enough to increase the probability level. Any evidence that is not relevant then is automatically termed to be irrelevant.  </w:t>
      </w:r>
    </w:p>
    <w:p w:rsidR="00A0420B" w:rsidRPr="007F703D" w:rsidRDefault="00A0420B" w:rsidP="007F703D">
      <w:pPr>
        <w:spacing w:line="480" w:lineRule="auto"/>
        <w:rPr>
          <w:rFonts w:ascii="Times New Roman" w:hAnsi="Times New Roman" w:cs="Times New Roman"/>
          <w:sz w:val="24"/>
          <w:szCs w:val="24"/>
        </w:rPr>
      </w:pPr>
      <w:r w:rsidRPr="007F703D">
        <w:rPr>
          <w:rFonts w:ascii="Times New Roman" w:hAnsi="Times New Roman" w:cs="Times New Roman"/>
          <w:sz w:val="24"/>
          <w:szCs w:val="24"/>
        </w:rPr>
        <w:t xml:space="preserve">Hearsay evidence is a term used to describe a statement that was made out of court but now made in court to ascertain the truth of the matter at hand. In simple words, it is a form of evidence of a personal statement that was created by another party that is not the witness to prove that what is being said is nothing but the truth. The aspect of hearsay is not challenging to understand apart from the many exceptions to the general rule. </w:t>
      </w:r>
    </w:p>
    <w:p w:rsidR="00A0420B" w:rsidRPr="007F703D" w:rsidRDefault="00A0420B" w:rsidP="007F703D">
      <w:pPr>
        <w:spacing w:line="480" w:lineRule="auto"/>
        <w:rPr>
          <w:rFonts w:ascii="Times New Roman" w:hAnsi="Times New Roman" w:cs="Times New Roman"/>
          <w:sz w:val="24"/>
          <w:szCs w:val="24"/>
        </w:rPr>
      </w:pPr>
      <w:r w:rsidRPr="007F703D">
        <w:rPr>
          <w:rFonts w:ascii="Times New Roman" w:hAnsi="Times New Roman" w:cs="Times New Roman"/>
          <w:sz w:val="24"/>
          <w:szCs w:val="24"/>
        </w:rPr>
        <w:t>Opinion evidence brings out the thoughts, beliefs, and inferences of the witness about the subject of the dispute being handled. It is always different from the individual knowledge of the points themselves. In case it is expressed by an expert, it is only used if it is scientific, technical or specialized information that will assist in the comprehension of the available evidence or determine the issue</w:t>
      </w:r>
      <w:r w:rsidR="006744C7">
        <w:rPr>
          <w:rFonts w:ascii="Times New Roman" w:hAnsi="Times New Roman" w:cs="Times New Roman"/>
          <w:sz w:val="24"/>
          <w:szCs w:val="24"/>
        </w:rPr>
        <w:t xml:space="preserve"> (</w:t>
      </w:r>
      <w:r w:rsidR="006744C7" w:rsidRPr="007F703D">
        <w:rPr>
          <w:rFonts w:ascii="Times New Roman" w:hAnsi="Times New Roman" w:cs="Times New Roman"/>
          <w:sz w:val="24"/>
          <w:szCs w:val="24"/>
        </w:rPr>
        <w:t>Bennett</w:t>
      </w:r>
      <w:r w:rsidR="006744C7">
        <w:rPr>
          <w:rFonts w:ascii="Times New Roman" w:hAnsi="Times New Roman" w:cs="Times New Roman"/>
          <w:sz w:val="24"/>
          <w:szCs w:val="24"/>
        </w:rPr>
        <w:t>, 2002)</w:t>
      </w:r>
      <w:r w:rsidRPr="007F703D">
        <w:rPr>
          <w:rFonts w:ascii="Times New Roman" w:hAnsi="Times New Roman" w:cs="Times New Roman"/>
          <w:sz w:val="24"/>
          <w:szCs w:val="24"/>
        </w:rPr>
        <w:t xml:space="preserve">.  </w:t>
      </w:r>
    </w:p>
    <w:p w:rsidR="00BD66A1" w:rsidRPr="007F703D" w:rsidRDefault="00A0420B" w:rsidP="007F703D">
      <w:pPr>
        <w:spacing w:line="480" w:lineRule="auto"/>
        <w:rPr>
          <w:rFonts w:ascii="Times New Roman" w:hAnsi="Times New Roman" w:cs="Times New Roman"/>
          <w:sz w:val="24"/>
          <w:szCs w:val="24"/>
        </w:rPr>
      </w:pPr>
      <w:r w:rsidRPr="007F703D">
        <w:rPr>
          <w:rFonts w:ascii="Times New Roman" w:hAnsi="Times New Roman" w:cs="Times New Roman"/>
          <w:sz w:val="24"/>
          <w:szCs w:val="24"/>
        </w:rPr>
        <w:t>Parole evidence is among the most confusing aspects when it comes to legal disputes. In simple terms, it is the evidence that touches on the discussions on what the contract agreement should contain before signing a deal. It is applicable in the face of written contracts to protect the terms agreed in the settlement.</w:t>
      </w:r>
    </w:p>
    <w:p w:rsidR="007F703D" w:rsidRPr="007F703D" w:rsidRDefault="007F703D" w:rsidP="007F703D">
      <w:pPr>
        <w:spacing w:line="480" w:lineRule="auto"/>
        <w:rPr>
          <w:rFonts w:ascii="Times New Roman" w:hAnsi="Times New Roman" w:cs="Times New Roman"/>
          <w:sz w:val="24"/>
          <w:szCs w:val="24"/>
        </w:rPr>
      </w:pPr>
      <w:r w:rsidRPr="007F703D">
        <w:rPr>
          <w:rFonts w:ascii="Times New Roman" w:hAnsi="Times New Roman" w:cs="Times New Roman"/>
          <w:sz w:val="24"/>
          <w:szCs w:val="24"/>
        </w:rPr>
        <w:br w:type="page"/>
      </w:r>
    </w:p>
    <w:p w:rsidR="007F703D" w:rsidRPr="007F703D" w:rsidRDefault="007F703D" w:rsidP="007F703D">
      <w:pPr>
        <w:spacing w:line="480" w:lineRule="auto"/>
        <w:jc w:val="center"/>
        <w:rPr>
          <w:rFonts w:ascii="Times New Roman" w:hAnsi="Times New Roman" w:cs="Times New Roman"/>
          <w:sz w:val="24"/>
          <w:szCs w:val="24"/>
        </w:rPr>
      </w:pPr>
      <w:r w:rsidRPr="007F703D">
        <w:rPr>
          <w:rFonts w:ascii="Times New Roman" w:hAnsi="Times New Roman" w:cs="Times New Roman"/>
          <w:sz w:val="24"/>
          <w:szCs w:val="24"/>
        </w:rPr>
        <w:lastRenderedPageBreak/>
        <w:t>References</w:t>
      </w:r>
    </w:p>
    <w:p w:rsidR="007F703D" w:rsidRPr="007F703D" w:rsidRDefault="007F703D" w:rsidP="007F703D">
      <w:pPr>
        <w:spacing w:line="480" w:lineRule="auto"/>
        <w:ind w:left="720" w:hanging="720"/>
        <w:rPr>
          <w:rFonts w:ascii="Times New Roman" w:hAnsi="Times New Roman" w:cs="Times New Roman"/>
          <w:sz w:val="24"/>
          <w:szCs w:val="24"/>
        </w:rPr>
      </w:pPr>
      <w:r w:rsidRPr="007F703D">
        <w:rPr>
          <w:rFonts w:ascii="Times New Roman" w:hAnsi="Times New Roman" w:cs="Times New Roman"/>
          <w:sz w:val="24"/>
          <w:szCs w:val="24"/>
        </w:rPr>
        <w:t>Baril, M.B and Dickey, D. (2011). MED-ARB: The best of both worlds or just a limited ADR options. 1-10.</w:t>
      </w:r>
    </w:p>
    <w:p w:rsidR="007F703D" w:rsidRPr="007F703D" w:rsidRDefault="007F703D" w:rsidP="007F703D">
      <w:pPr>
        <w:spacing w:line="480" w:lineRule="auto"/>
        <w:rPr>
          <w:rFonts w:ascii="Times New Roman" w:hAnsi="Times New Roman" w:cs="Times New Roman"/>
          <w:sz w:val="24"/>
          <w:szCs w:val="24"/>
        </w:rPr>
      </w:pPr>
      <w:r w:rsidRPr="007F703D">
        <w:rPr>
          <w:rFonts w:ascii="Times New Roman" w:hAnsi="Times New Roman" w:cs="Times New Roman"/>
          <w:sz w:val="24"/>
          <w:szCs w:val="24"/>
        </w:rPr>
        <w:t>Case 75: Internet Kiddie Pornography at work: Just Cause for Discharge?</w:t>
      </w:r>
    </w:p>
    <w:p w:rsidR="007F703D" w:rsidRPr="007F703D" w:rsidRDefault="007F703D" w:rsidP="007F703D">
      <w:pPr>
        <w:spacing w:line="480" w:lineRule="auto"/>
        <w:ind w:left="720" w:hanging="720"/>
        <w:rPr>
          <w:rFonts w:ascii="Times New Roman" w:hAnsi="Times New Roman" w:cs="Times New Roman"/>
          <w:bCs/>
          <w:sz w:val="24"/>
          <w:szCs w:val="24"/>
        </w:rPr>
      </w:pPr>
      <w:r w:rsidRPr="007F703D">
        <w:rPr>
          <w:rFonts w:ascii="Times New Roman" w:hAnsi="Times New Roman" w:cs="Times New Roman"/>
          <w:sz w:val="24"/>
          <w:szCs w:val="24"/>
        </w:rPr>
        <w:t xml:space="preserve">Cyprus, N. (2007).  </w:t>
      </w:r>
      <w:r w:rsidRPr="007F703D">
        <w:rPr>
          <w:rFonts w:ascii="Times New Roman" w:hAnsi="Times New Roman" w:cs="Times New Roman"/>
          <w:bCs/>
          <w:sz w:val="24"/>
          <w:szCs w:val="24"/>
        </w:rPr>
        <w:t xml:space="preserve">High–Level Tripartite Seminar </w:t>
      </w:r>
      <w:r w:rsidR="00594014" w:rsidRPr="007F703D">
        <w:rPr>
          <w:rFonts w:ascii="Times New Roman" w:hAnsi="Times New Roman" w:cs="Times New Roman"/>
          <w:bCs/>
          <w:sz w:val="24"/>
          <w:szCs w:val="24"/>
        </w:rPr>
        <w:t>on</w:t>
      </w:r>
      <w:r w:rsidRPr="007F703D">
        <w:rPr>
          <w:rFonts w:ascii="Times New Roman" w:hAnsi="Times New Roman" w:cs="Times New Roman"/>
          <w:bCs/>
          <w:sz w:val="24"/>
          <w:szCs w:val="24"/>
        </w:rPr>
        <w:t xml:space="preserve"> </w:t>
      </w:r>
      <w:r w:rsidR="00594014" w:rsidRPr="007F703D">
        <w:rPr>
          <w:rFonts w:ascii="Times New Roman" w:hAnsi="Times New Roman" w:cs="Times New Roman"/>
          <w:bCs/>
          <w:sz w:val="24"/>
          <w:szCs w:val="24"/>
        </w:rPr>
        <w:t>the</w:t>
      </w:r>
      <w:r w:rsidRPr="007F703D">
        <w:rPr>
          <w:rFonts w:ascii="Times New Roman" w:hAnsi="Times New Roman" w:cs="Times New Roman"/>
          <w:bCs/>
          <w:sz w:val="24"/>
          <w:szCs w:val="24"/>
        </w:rPr>
        <w:t xml:space="preserve"> Settlement </w:t>
      </w:r>
      <w:r w:rsidR="00594014" w:rsidRPr="007F703D">
        <w:rPr>
          <w:rFonts w:ascii="Times New Roman" w:hAnsi="Times New Roman" w:cs="Times New Roman"/>
          <w:bCs/>
          <w:sz w:val="24"/>
          <w:szCs w:val="24"/>
        </w:rPr>
        <w:t>of</w:t>
      </w:r>
      <w:r w:rsidRPr="007F703D">
        <w:rPr>
          <w:rFonts w:ascii="Times New Roman" w:hAnsi="Times New Roman" w:cs="Times New Roman"/>
          <w:bCs/>
          <w:sz w:val="24"/>
          <w:szCs w:val="24"/>
        </w:rPr>
        <w:t xml:space="preserve"> Labour Disputes </w:t>
      </w:r>
      <w:r w:rsidR="00594014" w:rsidRPr="007F703D">
        <w:rPr>
          <w:rFonts w:ascii="Times New Roman" w:hAnsi="Times New Roman" w:cs="Times New Roman"/>
          <w:bCs/>
          <w:sz w:val="24"/>
          <w:szCs w:val="24"/>
        </w:rPr>
        <w:t>through</w:t>
      </w:r>
      <w:r w:rsidRPr="007F703D">
        <w:rPr>
          <w:rFonts w:ascii="Times New Roman" w:hAnsi="Times New Roman" w:cs="Times New Roman"/>
          <w:bCs/>
          <w:sz w:val="24"/>
          <w:szCs w:val="24"/>
        </w:rPr>
        <w:t xml:space="preserve"> Mediation, Conciliation, Arbitration </w:t>
      </w:r>
      <w:r w:rsidR="00594014" w:rsidRPr="007F703D">
        <w:rPr>
          <w:rFonts w:ascii="Times New Roman" w:hAnsi="Times New Roman" w:cs="Times New Roman"/>
          <w:bCs/>
          <w:sz w:val="24"/>
          <w:szCs w:val="24"/>
        </w:rPr>
        <w:t>and</w:t>
      </w:r>
      <w:r w:rsidRPr="007F703D">
        <w:rPr>
          <w:rFonts w:ascii="Times New Roman" w:hAnsi="Times New Roman" w:cs="Times New Roman"/>
          <w:bCs/>
          <w:sz w:val="24"/>
          <w:szCs w:val="24"/>
        </w:rPr>
        <w:t xml:space="preserve"> Labour Courts. 1-25</w:t>
      </w:r>
    </w:p>
    <w:tbl>
      <w:tblPr>
        <w:tblW w:w="0" w:type="auto"/>
        <w:tblBorders>
          <w:top w:val="nil"/>
          <w:left w:val="nil"/>
          <w:bottom w:val="nil"/>
          <w:right w:val="nil"/>
        </w:tblBorders>
        <w:tblLayout w:type="fixed"/>
        <w:tblLook w:val="0000"/>
      </w:tblPr>
      <w:tblGrid>
        <w:gridCol w:w="8843"/>
      </w:tblGrid>
      <w:tr w:rsidR="007F703D" w:rsidRPr="007F703D" w:rsidTr="0012590B">
        <w:tblPrEx>
          <w:tblCellMar>
            <w:top w:w="0" w:type="dxa"/>
            <w:bottom w:w="0" w:type="dxa"/>
          </w:tblCellMar>
        </w:tblPrEx>
        <w:trPr>
          <w:trHeight w:val="212"/>
        </w:trPr>
        <w:tc>
          <w:tcPr>
            <w:tcW w:w="8843" w:type="dxa"/>
          </w:tcPr>
          <w:tbl>
            <w:tblPr>
              <w:tblW w:w="8843" w:type="dxa"/>
              <w:tblBorders>
                <w:top w:val="nil"/>
                <w:left w:val="nil"/>
                <w:bottom w:val="nil"/>
                <w:right w:val="nil"/>
              </w:tblBorders>
              <w:tblLayout w:type="fixed"/>
              <w:tblLook w:val="0000"/>
            </w:tblPr>
            <w:tblGrid>
              <w:gridCol w:w="8843"/>
            </w:tblGrid>
            <w:tr w:rsidR="007F703D" w:rsidRPr="007F703D" w:rsidTr="0012590B">
              <w:tblPrEx>
                <w:tblCellMar>
                  <w:top w:w="0" w:type="dxa"/>
                  <w:bottom w:w="0" w:type="dxa"/>
                </w:tblCellMar>
              </w:tblPrEx>
              <w:trPr>
                <w:trHeight w:val="461"/>
              </w:trPr>
              <w:tc>
                <w:tcPr>
                  <w:tcW w:w="8843" w:type="dxa"/>
                </w:tcPr>
                <w:p w:rsidR="007F703D" w:rsidRPr="007F703D" w:rsidRDefault="007F703D" w:rsidP="007F703D">
                  <w:pPr>
                    <w:pStyle w:val="Default"/>
                    <w:spacing w:line="480" w:lineRule="auto"/>
                    <w:rPr>
                      <w:rFonts w:ascii="Times New Roman" w:hAnsi="Times New Roman" w:cs="Times New Roman"/>
                      <w:bCs/>
                    </w:rPr>
                  </w:pPr>
                  <w:r w:rsidRPr="007F703D">
                    <w:rPr>
                      <w:rFonts w:ascii="Times New Roman" w:hAnsi="Times New Roman" w:cs="Times New Roman"/>
                      <w:bCs/>
                    </w:rPr>
                    <w:t>Kaplow, L.  (2011). Burden of Proof. 1-97.</w:t>
                  </w:r>
                </w:p>
                <w:p w:rsidR="007F703D" w:rsidRPr="007F703D" w:rsidRDefault="007F703D" w:rsidP="007F703D">
                  <w:pPr>
                    <w:pStyle w:val="Default"/>
                    <w:spacing w:line="480" w:lineRule="auto"/>
                    <w:ind w:left="720" w:hanging="720"/>
                    <w:rPr>
                      <w:rFonts w:ascii="Times New Roman" w:hAnsi="Times New Roman" w:cs="Times New Roman"/>
                    </w:rPr>
                  </w:pPr>
                  <w:r w:rsidRPr="007F703D">
                    <w:rPr>
                      <w:rFonts w:ascii="Times New Roman" w:hAnsi="Times New Roman" w:cs="Times New Roman"/>
                    </w:rPr>
                    <w:t>Mittenthal, R. (2014) Past practice and the administration Of collective bargaining agreements. 30-68.</w:t>
                  </w:r>
                </w:p>
                <w:p w:rsidR="007F703D" w:rsidRPr="007F703D" w:rsidRDefault="00594014" w:rsidP="007F703D">
                  <w:pPr>
                    <w:pStyle w:val="Default"/>
                    <w:spacing w:line="480" w:lineRule="auto"/>
                    <w:ind w:left="720" w:hanging="720"/>
                    <w:rPr>
                      <w:rFonts w:ascii="Times New Roman" w:hAnsi="Times New Roman" w:cs="Times New Roman"/>
                    </w:rPr>
                  </w:pPr>
                  <w:r w:rsidRPr="007F703D">
                    <w:rPr>
                      <w:rFonts w:ascii="Times New Roman" w:hAnsi="Times New Roman" w:cs="Times New Roman"/>
                    </w:rPr>
                    <w:t>Groulx,</w:t>
                  </w:r>
                  <w:r w:rsidR="007F703D" w:rsidRPr="007F703D">
                    <w:rPr>
                      <w:rFonts w:ascii="Times New Roman" w:hAnsi="Times New Roman" w:cs="Times New Roman"/>
                    </w:rPr>
                    <w:t xml:space="preserve"> K and Rothman, C. (2011).  </w:t>
                  </w:r>
                  <w:r w:rsidR="007F703D" w:rsidRPr="007F703D">
                    <w:rPr>
                      <w:rFonts w:ascii="Times New Roman" w:hAnsi="Times New Roman" w:cs="Times New Roman"/>
                      <w:bCs/>
                    </w:rPr>
                    <w:t xml:space="preserve">Admissibility: Understanding Types And Sources Of Electronic Evidence. 1-37. </w:t>
                  </w:r>
                </w:p>
              </w:tc>
            </w:tr>
          </w:tbl>
          <w:p w:rsidR="007F703D" w:rsidRPr="007F703D" w:rsidRDefault="007F703D" w:rsidP="007F703D">
            <w:pPr>
              <w:pStyle w:val="Default"/>
              <w:spacing w:line="480" w:lineRule="auto"/>
              <w:rPr>
                <w:rFonts w:ascii="Times New Roman" w:hAnsi="Times New Roman" w:cs="Times New Roman"/>
              </w:rPr>
            </w:pPr>
            <w:r w:rsidRPr="007F703D">
              <w:rPr>
                <w:rFonts w:ascii="Times New Roman" w:hAnsi="Times New Roman" w:cs="Times New Roman"/>
              </w:rPr>
              <w:t xml:space="preserve">Bennett, S.C. (2002). </w:t>
            </w:r>
            <w:r w:rsidRPr="007F703D">
              <w:rPr>
                <w:rFonts w:ascii="Times New Roman" w:hAnsi="Times New Roman" w:cs="Times New Roman"/>
                <w:i/>
              </w:rPr>
              <w:t>Arbitration: Essential Concepts</w:t>
            </w:r>
            <w:r w:rsidRPr="007F703D">
              <w:rPr>
                <w:rFonts w:ascii="Times New Roman" w:hAnsi="Times New Roman" w:cs="Times New Roman"/>
              </w:rPr>
              <w:t>. ALM Publishing.</w:t>
            </w:r>
          </w:p>
        </w:tc>
      </w:tr>
    </w:tbl>
    <w:p w:rsidR="007F703D" w:rsidRPr="007F703D" w:rsidRDefault="007F703D" w:rsidP="007F703D">
      <w:pPr>
        <w:spacing w:line="480" w:lineRule="auto"/>
        <w:ind w:left="720" w:hanging="720"/>
        <w:rPr>
          <w:rFonts w:ascii="Times New Roman" w:hAnsi="Times New Roman" w:cs="Times New Roman"/>
          <w:sz w:val="24"/>
          <w:szCs w:val="24"/>
        </w:rPr>
      </w:pPr>
      <w:r w:rsidRPr="007F703D">
        <w:rPr>
          <w:rFonts w:ascii="Times New Roman" w:hAnsi="Times New Roman" w:cs="Times New Roman"/>
          <w:sz w:val="24"/>
          <w:szCs w:val="24"/>
        </w:rPr>
        <w:t xml:space="preserve">Pappas, B.A. (2015).Med-Arb and the Legalization of Alternative Dispute Resolution.  </w:t>
      </w:r>
      <w:r w:rsidRPr="007F703D">
        <w:rPr>
          <w:rFonts w:ascii="Times New Roman" w:hAnsi="Times New Roman" w:cs="Times New Roman"/>
          <w:i/>
          <w:sz w:val="24"/>
          <w:szCs w:val="24"/>
        </w:rPr>
        <w:t>Harv. Negot. L. Rev</w:t>
      </w:r>
      <w:r w:rsidRPr="007F703D">
        <w:rPr>
          <w:rFonts w:ascii="Times New Roman" w:hAnsi="Times New Roman" w:cs="Times New Roman"/>
          <w:sz w:val="24"/>
          <w:szCs w:val="24"/>
        </w:rPr>
        <w:t>. 157, 1-49.</w:t>
      </w:r>
    </w:p>
    <w:p w:rsidR="007F703D" w:rsidRPr="007F703D" w:rsidRDefault="007F703D" w:rsidP="007F703D">
      <w:pPr>
        <w:spacing w:line="480" w:lineRule="auto"/>
        <w:rPr>
          <w:rFonts w:ascii="Times New Roman" w:hAnsi="Times New Roman" w:cs="Times New Roman"/>
          <w:sz w:val="24"/>
          <w:szCs w:val="24"/>
        </w:rPr>
      </w:pPr>
    </w:p>
    <w:sectPr w:rsidR="007F703D" w:rsidRPr="007F703D" w:rsidSect="00E4305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2447E1"/>
    <w:multiLevelType w:val="hybridMultilevel"/>
    <w:tmpl w:val="67E4F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409F0"/>
    <w:rsid w:val="00001D51"/>
    <w:rsid w:val="00080A6A"/>
    <w:rsid w:val="00087AD5"/>
    <w:rsid w:val="00094822"/>
    <w:rsid w:val="000D20E3"/>
    <w:rsid w:val="000E7308"/>
    <w:rsid w:val="00150637"/>
    <w:rsid w:val="0016168A"/>
    <w:rsid w:val="001D7E63"/>
    <w:rsid w:val="003E7789"/>
    <w:rsid w:val="0041507C"/>
    <w:rsid w:val="004664F5"/>
    <w:rsid w:val="004F3335"/>
    <w:rsid w:val="00567B31"/>
    <w:rsid w:val="00594014"/>
    <w:rsid w:val="005D7969"/>
    <w:rsid w:val="005F787C"/>
    <w:rsid w:val="006744C7"/>
    <w:rsid w:val="006A23CB"/>
    <w:rsid w:val="006E7F42"/>
    <w:rsid w:val="00725FC4"/>
    <w:rsid w:val="007F703D"/>
    <w:rsid w:val="008D6E79"/>
    <w:rsid w:val="00925A78"/>
    <w:rsid w:val="00935797"/>
    <w:rsid w:val="009A254F"/>
    <w:rsid w:val="00A0420B"/>
    <w:rsid w:val="00A46B6B"/>
    <w:rsid w:val="00A821EB"/>
    <w:rsid w:val="00AA3B31"/>
    <w:rsid w:val="00B003CD"/>
    <w:rsid w:val="00B94C20"/>
    <w:rsid w:val="00BB5DC6"/>
    <w:rsid w:val="00BD66A1"/>
    <w:rsid w:val="00BF38A1"/>
    <w:rsid w:val="00C409F0"/>
    <w:rsid w:val="00C85AF8"/>
    <w:rsid w:val="00C873B1"/>
    <w:rsid w:val="00CF50FD"/>
    <w:rsid w:val="00D05444"/>
    <w:rsid w:val="00D970FD"/>
    <w:rsid w:val="00DD6571"/>
    <w:rsid w:val="00E41A9C"/>
    <w:rsid w:val="00E43053"/>
    <w:rsid w:val="00E557E0"/>
    <w:rsid w:val="00EB552A"/>
    <w:rsid w:val="00F742FC"/>
    <w:rsid w:val="00F7760C"/>
    <w:rsid w:val="00FC4F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0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420B"/>
    <w:pPr>
      <w:ind w:left="720"/>
      <w:contextualSpacing/>
    </w:pPr>
  </w:style>
  <w:style w:type="paragraph" w:customStyle="1" w:styleId="Default">
    <w:name w:val="Default"/>
    <w:rsid w:val="007F703D"/>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420B"/>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9</Pages>
  <Words>2357</Words>
  <Characters>13438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10</cp:revision>
  <dcterms:created xsi:type="dcterms:W3CDTF">2017-12-14T05:09:00Z</dcterms:created>
  <dcterms:modified xsi:type="dcterms:W3CDTF">2017-12-14T06:04:00Z</dcterms:modified>
</cp:coreProperties>
</file>